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D5DBD">
      <w:pPr>
        <w:widowControl/>
        <w:kinsoku w:val="0"/>
        <w:autoSpaceDE w:val="0"/>
        <w:autoSpaceDN w:val="0"/>
        <w:adjustRightInd w:val="0"/>
        <w:snapToGrid w:val="0"/>
        <w:spacing w:line="560" w:lineRule="exact"/>
        <w:jc w:val="center"/>
        <w:textAlignment w:val="baseline"/>
        <w:rPr>
          <w:rFonts w:hint="eastAsia" w:ascii="方正小标宋简体" w:hAnsi="方正仿宋_GB2312" w:eastAsia="方正小标宋简体" w:cs="Arial"/>
          <w:snapToGrid w:val="0"/>
          <w:color w:val="000000"/>
          <w:kern w:val="0"/>
          <w:sz w:val="40"/>
          <w:szCs w:val="21"/>
          <w14:ligatures w14:val="none"/>
        </w:rPr>
      </w:pPr>
      <w:r>
        <w:rPr>
          <w:rFonts w:ascii="方正小标宋简体" w:hAnsi="方正仿宋_GB2312" w:eastAsia="方正小标宋简体" w:cs="Arial"/>
          <w:snapToGrid w:val="0"/>
          <w:color w:val="000000"/>
          <w:kern w:val="0"/>
          <w:sz w:val="40"/>
          <w:szCs w:val="21"/>
          <w14:ligatures w14:val="none"/>
        </w:rPr>
        <w:t>河南农业大学2027年硕士研究生招生自命题</w:t>
      </w:r>
    </w:p>
    <w:p w14:paraId="3E9E3D4D">
      <w:pPr>
        <w:widowControl/>
        <w:kinsoku w:val="0"/>
        <w:autoSpaceDE w:val="0"/>
        <w:autoSpaceDN w:val="0"/>
        <w:adjustRightInd w:val="0"/>
        <w:snapToGrid w:val="0"/>
        <w:spacing w:line="560" w:lineRule="exact"/>
        <w:jc w:val="center"/>
        <w:textAlignment w:val="baseline"/>
        <w:rPr>
          <w:rFonts w:hint="eastAsia" w:ascii="方正小标宋简体" w:hAnsi="方正仿宋_GB2312" w:eastAsia="方正小标宋简体" w:cs="Arial"/>
          <w:snapToGrid w:val="0"/>
          <w:color w:val="000000"/>
          <w:kern w:val="0"/>
          <w:sz w:val="40"/>
          <w:szCs w:val="21"/>
          <w14:ligatures w14:val="none"/>
        </w:rPr>
      </w:pPr>
      <w:r>
        <w:rPr>
          <w:rFonts w:ascii="方正小标宋简体" w:hAnsi="方正仿宋_GB2312" w:eastAsia="方正小标宋简体" w:cs="Arial"/>
          <w:snapToGrid w:val="0"/>
          <w:color w:val="000000"/>
          <w:kern w:val="0"/>
          <w:sz w:val="40"/>
          <w:szCs w:val="21"/>
          <w14:ligatures w14:val="none"/>
        </w:rPr>
        <w:t>科目考试大纲</w:t>
      </w:r>
    </w:p>
    <w:p w14:paraId="11898F6C">
      <w:pPr>
        <w:rPr>
          <w:rStyle w:val="40"/>
          <w:rFonts w:hint="eastAsia" w:ascii="仿宋" w:hAnsi="仿宋" w:eastAsia="仿宋" w:cs="仿宋"/>
          <w:color w:val="auto"/>
          <w:sz w:val="24"/>
          <w:szCs w:val="24"/>
        </w:rPr>
      </w:pPr>
    </w:p>
    <w:p w14:paraId="1E4237C9">
      <w:pPr>
        <w:rPr>
          <w:rStyle w:val="40"/>
          <w:rFonts w:hint="eastAsia" w:ascii="仿宋" w:hAnsi="仿宋" w:eastAsia="仿宋" w:cs="仿宋"/>
          <w:color w:val="auto"/>
          <w:sz w:val="24"/>
          <w:szCs w:val="24"/>
        </w:rPr>
      </w:pPr>
      <w:r>
        <w:rPr>
          <w:rStyle w:val="40"/>
          <w:rFonts w:hint="eastAsia" w:ascii="仿宋" w:hAnsi="仿宋" w:eastAsia="仿宋" w:cs="仿宋"/>
          <w:color w:val="auto"/>
          <w:sz w:val="24"/>
          <w:szCs w:val="24"/>
        </w:rPr>
        <w:t>考试科目代码及名称：8</w:t>
      </w:r>
      <w:r>
        <w:rPr>
          <w:rStyle w:val="40"/>
          <w:rFonts w:hint="eastAsia" w:ascii="仿宋" w:hAnsi="仿宋" w:eastAsia="仿宋" w:cs="仿宋"/>
          <w:color w:val="auto"/>
          <w:sz w:val="24"/>
          <w:szCs w:val="24"/>
          <w:lang w:val="en-US" w:eastAsia="zh-CN"/>
        </w:rPr>
        <w:t>0</w:t>
      </w:r>
      <w:r>
        <w:rPr>
          <w:rStyle w:val="40"/>
          <w:rFonts w:ascii="仿宋" w:hAnsi="仿宋" w:eastAsia="仿宋" w:cs="仿宋"/>
          <w:color w:val="auto"/>
          <w:sz w:val="24"/>
          <w:szCs w:val="24"/>
        </w:rPr>
        <w:t>6</w:t>
      </w:r>
      <w:r>
        <w:rPr>
          <w:rStyle w:val="40"/>
          <w:rFonts w:hint="eastAsia" w:ascii="仿宋" w:hAnsi="仿宋" w:eastAsia="仿宋" w:cs="仿宋"/>
          <w:color w:val="auto"/>
          <w:sz w:val="24"/>
          <w:szCs w:val="24"/>
        </w:rPr>
        <w:t>细胞生物学</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3594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3F1E8AB">
            <w:pPr>
              <w:spacing w:before="156" w:beforeLines="50" w:line="360" w:lineRule="auto"/>
              <w:rPr>
                <w:rFonts w:hint="eastAsia" w:ascii="仿宋" w:hAnsi="仿宋" w:eastAsia="仿宋" w:cs="仿宋"/>
                <w:b/>
                <w:bCs/>
                <w:szCs w:val="24"/>
              </w:rPr>
            </w:pPr>
            <w:r>
              <w:rPr>
                <w:rFonts w:hint="eastAsia" w:ascii="仿宋" w:hAnsi="仿宋" w:eastAsia="仿宋" w:cs="仿宋"/>
                <w:b/>
                <w:bCs/>
                <w:szCs w:val="24"/>
              </w:rPr>
              <w:t>考试要求：</w:t>
            </w:r>
          </w:p>
          <w:p w14:paraId="5277CE8C">
            <w:pPr>
              <w:spacing w:line="360" w:lineRule="auto"/>
              <w:ind w:firstLine="480" w:firstLineChars="200"/>
              <w:rPr>
                <w:rFonts w:hint="eastAsia" w:ascii="仿宋" w:hAnsi="仿宋" w:eastAsia="仿宋" w:cs="仿宋"/>
                <w:szCs w:val="24"/>
              </w:rPr>
            </w:pPr>
            <w:r>
              <w:rPr>
                <w:rFonts w:hint="eastAsia" w:ascii="仿宋" w:hAnsi="仿宋" w:eastAsia="仿宋" w:cs="仿宋"/>
                <w:szCs w:val="24"/>
              </w:rPr>
              <w:t>1.本考试大纲适用于报考河南农业大学生命科学学</w:t>
            </w:r>
            <w:bookmarkStart w:id="0" w:name="_GoBack"/>
            <w:bookmarkEnd w:id="0"/>
            <w:r>
              <w:rPr>
                <w:rFonts w:hint="eastAsia" w:ascii="仿宋" w:hAnsi="仿宋" w:eastAsia="仿宋" w:cs="仿宋"/>
                <w:szCs w:val="24"/>
              </w:rPr>
              <w:t>院生物学（0710</w:t>
            </w:r>
            <w:r>
              <w:rPr>
                <w:rFonts w:hint="eastAsia" w:ascii="仿宋" w:hAnsi="仿宋" w:eastAsia="仿宋" w:cs="仿宋"/>
                <w:szCs w:val="24"/>
                <w:lang w:val="en-US" w:eastAsia="zh-CN"/>
              </w:rPr>
              <w:t>00</w:t>
            </w:r>
            <w:r>
              <w:rPr>
                <w:rFonts w:hint="eastAsia" w:ascii="仿宋" w:hAnsi="仿宋" w:eastAsia="仿宋" w:cs="仿宋"/>
                <w:szCs w:val="24"/>
              </w:rPr>
              <w:t>）和生物与医药（086000）专业硕士研究生的入学考试。</w:t>
            </w:r>
          </w:p>
          <w:p w14:paraId="2438BA9D">
            <w:pPr>
              <w:spacing w:line="360" w:lineRule="auto"/>
              <w:ind w:firstLine="480" w:firstLineChars="200"/>
              <w:rPr>
                <w:rFonts w:hint="eastAsia" w:ascii="仿宋" w:hAnsi="仿宋" w:eastAsia="仿宋" w:cs="仿宋"/>
                <w:szCs w:val="24"/>
              </w:rPr>
            </w:pPr>
            <w:r>
              <w:rPr>
                <w:rFonts w:hint="eastAsia" w:ascii="仿宋" w:hAnsi="仿宋" w:eastAsia="仿宋" w:cs="仿宋"/>
                <w:szCs w:val="24"/>
              </w:rPr>
              <w:t>2.要求考生了解细胞生物学的发展现状和前沿趋势，熟知</w:t>
            </w:r>
            <w:r>
              <w:rPr>
                <w:rFonts w:hint="eastAsia" w:ascii="仿宋" w:hAnsi="仿宋" w:eastAsia="仿宋" w:cs="仿宋"/>
                <w:szCs w:val="24"/>
                <w:lang w:bidi="ar"/>
              </w:rPr>
              <w:t>细胞生物学的基本知识和常用研究方法；掌握</w:t>
            </w:r>
            <w:r>
              <w:rPr>
                <w:rFonts w:hint="eastAsia" w:ascii="仿宋" w:hAnsi="仿宋" w:eastAsia="仿宋" w:cs="仿宋"/>
                <w:szCs w:val="24"/>
              </w:rPr>
              <w:t>细胞质膜、细胞质基质与内膜系统、线粒体和叶绿体、细胞骨架、细胞核与染色质、核糖体等</w:t>
            </w:r>
            <w:r>
              <w:rPr>
                <w:rFonts w:hint="eastAsia" w:ascii="仿宋" w:hAnsi="仿宋" w:eastAsia="仿宋" w:cs="仿宋"/>
                <w:szCs w:val="24"/>
                <w:lang w:bidi="ar"/>
              </w:rPr>
              <w:t>细胞结构和功能；深入掌握</w:t>
            </w:r>
            <w:r>
              <w:rPr>
                <w:rFonts w:hint="eastAsia" w:ascii="仿宋" w:hAnsi="仿宋" w:eastAsia="仿宋" w:cs="仿宋"/>
                <w:szCs w:val="24"/>
              </w:rPr>
              <w:t>物质的跨膜运输、蛋白质分选与膜泡运输、细胞信号转导、细胞周期与细胞分裂、细胞增殖调控与癌细胞、细胞分化与干细胞、细胞衰老与细胞程序性死亡等</w:t>
            </w:r>
            <w:r>
              <w:rPr>
                <w:rFonts w:hint="eastAsia" w:ascii="仿宋" w:hAnsi="仿宋" w:eastAsia="仿宋" w:cs="仿宋"/>
                <w:szCs w:val="24"/>
                <w:lang w:bidi="ar"/>
              </w:rPr>
              <w:t>细胞</w:t>
            </w:r>
            <w:r>
              <w:rPr>
                <w:rFonts w:hint="eastAsia" w:ascii="仿宋" w:hAnsi="仿宋" w:eastAsia="仿宋" w:cs="仿宋"/>
                <w:szCs w:val="24"/>
              </w:rPr>
              <w:t>的</w:t>
            </w:r>
            <w:r>
              <w:rPr>
                <w:rFonts w:hint="eastAsia" w:ascii="仿宋" w:hAnsi="仿宋" w:eastAsia="仿宋" w:cs="仿宋"/>
                <w:szCs w:val="24"/>
                <w:lang w:bidi="ar"/>
              </w:rPr>
              <w:t>重要生命活动及调控机制</w:t>
            </w:r>
            <w:r>
              <w:rPr>
                <w:rFonts w:hint="eastAsia" w:ascii="仿宋" w:hAnsi="仿宋" w:eastAsia="仿宋" w:cs="仿宋"/>
                <w:szCs w:val="24"/>
              </w:rPr>
              <w:t>。理解细胞生物学的基本观点，并能够应用细胞生物学观点深入分析自然界的各种现象及其对生命科学的影响。</w:t>
            </w:r>
          </w:p>
          <w:p w14:paraId="5ED2537F">
            <w:pPr>
              <w:spacing w:line="360" w:lineRule="auto"/>
              <w:ind w:firstLine="482" w:firstLineChars="200"/>
              <w:rPr>
                <w:rFonts w:hint="eastAsia" w:ascii="仿宋" w:hAnsi="仿宋" w:eastAsia="仿宋" w:cs="仿宋"/>
                <w:b/>
                <w:bCs/>
                <w:szCs w:val="24"/>
              </w:rPr>
            </w:pPr>
          </w:p>
          <w:p w14:paraId="62CDF2A7">
            <w:pPr>
              <w:spacing w:line="360" w:lineRule="auto"/>
              <w:rPr>
                <w:rFonts w:hint="eastAsia" w:ascii="仿宋" w:hAnsi="仿宋" w:eastAsia="仿宋" w:cs="仿宋"/>
                <w:b/>
                <w:bCs/>
                <w:szCs w:val="24"/>
              </w:rPr>
            </w:pPr>
            <w:r>
              <w:rPr>
                <w:rFonts w:hint="eastAsia" w:ascii="仿宋" w:hAnsi="仿宋" w:eastAsia="仿宋" w:cs="仿宋"/>
                <w:b/>
                <w:bCs/>
                <w:szCs w:val="24"/>
              </w:rPr>
              <w:t>考试方式：笔试，闭卷</w:t>
            </w:r>
          </w:p>
          <w:p w14:paraId="11E2D779">
            <w:pPr>
              <w:spacing w:line="360" w:lineRule="auto"/>
              <w:rPr>
                <w:rFonts w:hint="eastAsia" w:ascii="仿宋" w:hAnsi="仿宋" w:eastAsia="仿宋" w:cs="仿宋"/>
                <w:b/>
                <w:bCs/>
                <w:szCs w:val="24"/>
              </w:rPr>
            </w:pPr>
            <w:r>
              <w:rPr>
                <w:rFonts w:hint="eastAsia" w:ascii="仿宋" w:hAnsi="仿宋" w:eastAsia="仿宋" w:cs="仿宋"/>
                <w:b/>
                <w:bCs/>
                <w:szCs w:val="24"/>
              </w:rPr>
              <w:t>答题时间：180分钟</w:t>
            </w:r>
          </w:p>
          <w:p w14:paraId="4670F886">
            <w:pPr>
              <w:spacing w:line="360" w:lineRule="auto"/>
              <w:rPr>
                <w:rFonts w:hint="eastAsia" w:ascii="仿宋" w:hAnsi="仿宋" w:eastAsia="仿宋" w:cs="仿宋"/>
                <w:szCs w:val="24"/>
              </w:rPr>
            </w:pPr>
            <w:r>
              <w:rPr>
                <w:rFonts w:hint="eastAsia" w:ascii="仿宋" w:hAnsi="仿宋" w:eastAsia="仿宋" w:cs="仿宋"/>
                <w:b/>
                <w:bCs/>
                <w:szCs w:val="24"/>
              </w:rPr>
              <w:t>考试题型及比例：（卷面成绩150分）</w:t>
            </w:r>
          </w:p>
          <w:p w14:paraId="76FB1607">
            <w:pPr>
              <w:spacing w:line="360" w:lineRule="auto"/>
              <w:ind w:firstLine="482" w:firstLineChars="200"/>
              <w:rPr>
                <w:rFonts w:hint="eastAsia" w:ascii="仿宋" w:hAnsi="仿宋" w:eastAsia="仿宋" w:cs="仿宋"/>
                <w:b/>
                <w:bCs/>
                <w:szCs w:val="24"/>
              </w:rPr>
            </w:pPr>
            <w:r>
              <w:rPr>
                <w:rFonts w:hint="eastAsia" w:ascii="仿宋" w:hAnsi="仿宋" w:eastAsia="仿宋" w:cs="仿宋"/>
                <w:b/>
                <w:bCs/>
                <w:szCs w:val="24"/>
              </w:rPr>
              <w:t>1、主要题型：</w:t>
            </w:r>
            <w:r>
              <w:rPr>
                <w:rFonts w:hint="eastAsia" w:ascii="仿宋" w:hAnsi="仿宋" w:eastAsia="仿宋" w:cs="仿宋"/>
                <w:szCs w:val="24"/>
              </w:rPr>
              <w:t>名词解释、选择题、简答题、论述题。</w:t>
            </w:r>
          </w:p>
          <w:p w14:paraId="1988F338">
            <w:pPr>
              <w:spacing w:line="360" w:lineRule="auto"/>
              <w:ind w:firstLine="482" w:firstLineChars="200"/>
              <w:rPr>
                <w:rFonts w:hint="eastAsia" w:ascii="仿宋" w:hAnsi="仿宋" w:eastAsia="仿宋" w:cs="仿宋"/>
                <w:szCs w:val="24"/>
              </w:rPr>
            </w:pPr>
            <w:r>
              <w:rPr>
                <w:rFonts w:hint="eastAsia" w:ascii="仿宋" w:hAnsi="仿宋" w:eastAsia="仿宋" w:cs="仿宋"/>
                <w:b/>
                <w:bCs/>
                <w:szCs w:val="24"/>
              </w:rPr>
              <w:t>2、题型比例：</w:t>
            </w:r>
            <w:r>
              <w:rPr>
                <w:rFonts w:hint="eastAsia" w:ascii="仿宋" w:hAnsi="仿宋" w:eastAsia="仿宋" w:cs="仿宋"/>
                <w:szCs w:val="24"/>
              </w:rPr>
              <w:t>名词解释20%、选择题20%、简答题</w:t>
            </w:r>
            <w:r>
              <w:rPr>
                <w:rFonts w:ascii="仿宋" w:hAnsi="仿宋" w:eastAsia="仿宋" w:cs="仿宋"/>
                <w:szCs w:val="24"/>
              </w:rPr>
              <w:t>3</w:t>
            </w:r>
            <w:r>
              <w:rPr>
                <w:rFonts w:hint="eastAsia" w:ascii="仿宋" w:hAnsi="仿宋" w:eastAsia="仿宋" w:cs="仿宋"/>
                <w:szCs w:val="24"/>
              </w:rPr>
              <w:t>0%、论述题</w:t>
            </w:r>
            <w:r>
              <w:rPr>
                <w:rFonts w:ascii="仿宋" w:hAnsi="仿宋" w:eastAsia="仿宋" w:cs="仿宋"/>
                <w:szCs w:val="24"/>
              </w:rPr>
              <w:t>3</w:t>
            </w:r>
            <w:r>
              <w:rPr>
                <w:rFonts w:hint="eastAsia" w:ascii="仿宋" w:hAnsi="仿宋" w:eastAsia="仿宋" w:cs="仿宋"/>
                <w:szCs w:val="24"/>
              </w:rPr>
              <w:t>0%。</w:t>
            </w:r>
          </w:p>
          <w:p w14:paraId="1F0474BB">
            <w:pPr>
              <w:spacing w:line="360" w:lineRule="auto"/>
              <w:ind w:firstLine="480" w:firstLineChars="200"/>
              <w:rPr>
                <w:rFonts w:hint="eastAsia" w:ascii="仿宋" w:hAnsi="仿宋" w:eastAsia="仿宋" w:cs="仿宋"/>
                <w:szCs w:val="24"/>
              </w:rPr>
            </w:pPr>
          </w:p>
          <w:p w14:paraId="35E77BBE">
            <w:pPr>
              <w:spacing w:line="360" w:lineRule="auto"/>
              <w:rPr>
                <w:rFonts w:hint="eastAsia" w:ascii="仿宋" w:hAnsi="仿宋" w:eastAsia="仿宋" w:cs="仿宋"/>
                <w:b/>
                <w:bCs/>
                <w:szCs w:val="24"/>
              </w:rPr>
            </w:pPr>
            <w:r>
              <w:rPr>
                <w:rFonts w:hint="eastAsia" w:ascii="仿宋" w:hAnsi="仿宋" w:eastAsia="仿宋" w:cs="仿宋"/>
                <w:b/>
                <w:bCs/>
                <w:szCs w:val="24"/>
              </w:rPr>
              <w:t>基本内容及范围：</w:t>
            </w:r>
          </w:p>
          <w:p w14:paraId="2A0D225C">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第一章 绪论</w:t>
            </w:r>
          </w:p>
          <w:p w14:paraId="06C71745">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1.细胞生物学的研究内容和现状</w:t>
            </w:r>
          </w:p>
          <w:p w14:paraId="3FF5C63B">
            <w:pPr>
              <w:widowControl/>
              <w:adjustRightInd w:val="0"/>
              <w:snapToGrid w:val="0"/>
              <w:spacing w:line="360" w:lineRule="auto"/>
              <w:ind w:firstLine="456" w:firstLineChars="190"/>
              <w:jc w:val="left"/>
              <w:rPr>
                <w:rFonts w:hint="eastAsia" w:ascii="仿宋" w:hAnsi="仿宋" w:eastAsia="仿宋" w:cs="仿宋"/>
                <w:szCs w:val="24"/>
                <w:lang w:bidi="ar"/>
              </w:rPr>
            </w:pPr>
            <w:r>
              <w:rPr>
                <w:rFonts w:ascii="仿宋" w:hAnsi="仿宋" w:eastAsia="仿宋" w:cs="仿宋"/>
                <w:szCs w:val="24"/>
              </w:rPr>
              <w:t>2</w:t>
            </w:r>
            <w:r>
              <w:rPr>
                <w:rFonts w:hint="eastAsia" w:ascii="仿宋" w:hAnsi="仿宋" w:eastAsia="仿宋" w:cs="仿宋"/>
                <w:szCs w:val="24"/>
              </w:rPr>
              <w:t>.</w:t>
            </w:r>
            <w:r>
              <w:rPr>
                <w:rFonts w:hint="eastAsia" w:ascii="仿宋" w:hAnsi="仿宋" w:eastAsia="仿宋" w:cs="仿宋"/>
                <w:szCs w:val="24"/>
                <w:lang w:bidi="ar"/>
              </w:rPr>
              <w:t>细胞的基本概念及基本共性</w:t>
            </w:r>
          </w:p>
          <w:p w14:paraId="16A742BF">
            <w:pPr>
              <w:widowControl/>
              <w:adjustRightInd w:val="0"/>
              <w:snapToGrid w:val="0"/>
              <w:spacing w:line="360" w:lineRule="auto"/>
              <w:ind w:firstLine="456" w:firstLineChars="190"/>
              <w:jc w:val="left"/>
              <w:rPr>
                <w:rFonts w:hint="eastAsia" w:ascii="仿宋" w:hAnsi="仿宋" w:eastAsia="仿宋" w:cs="仿宋"/>
                <w:szCs w:val="24"/>
                <w:lang w:bidi="ar"/>
              </w:rPr>
            </w:pPr>
            <w:r>
              <w:rPr>
                <w:rFonts w:ascii="仿宋" w:hAnsi="仿宋" w:eastAsia="仿宋" w:cs="仿宋"/>
                <w:szCs w:val="24"/>
              </w:rPr>
              <w:t>3</w:t>
            </w:r>
            <w:r>
              <w:rPr>
                <w:rFonts w:hint="eastAsia" w:ascii="仿宋" w:hAnsi="仿宋" w:eastAsia="仿宋" w:cs="仿宋"/>
                <w:szCs w:val="24"/>
              </w:rPr>
              <w:t>.</w:t>
            </w:r>
            <w:r>
              <w:rPr>
                <w:rFonts w:hint="eastAsia" w:ascii="仿宋" w:hAnsi="仿宋" w:eastAsia="仿宋" w:cs="仿宋"/>
                <w:szCs w:val="24"/>
                <w:lang w:bidi="ar"/>
              </w:rPr>
              <w:t>真核细胞与原核细胞的异同</w:t>
            </w:r>
          </w:p>
          <w:p w14:paraId="289A7B96">
            <w:pPr>
              <w:widowControl/>
              <w:adjustRightInd w:val="0"/>
              <w:snapToGrid w:val="0"/>
              <w:spacing w:line="360" w:lineRule="auto"/>
              <w:ind w:firstLine="456" w:firstLineChars="190"/>
              <w:jc w:val="left"/>
              <w:rPr>
                <w:rFonts w:hint="eastAsia" w:ascii="仿宋" w:hAnsi="仿宋" w:eastAsia="仿宋" w:cs="仿宋"/>
                <w:szCs w:val="24"/>
                <w:lang w:bidi="ar"/>
              </w:rPr>
            </w:pPr>
            <w:r>
              <w:rPr>
                <w:rFonts w:ascii="仿宋" w:hAnsi="仿宋" w:eastAsia="仿宋" w:cs="仿宋"/>
                <w:szCs w:val="24"/>
              </w:rPr>
              <w:t>4</w:t>
            </w:r>
            <w:r>
              <w:rPr>
                <w:rFonts w:hint="eastAsia" w:ascii="仿宋" w:hAnsi="仿宋" w:eastAsia="仿宋" w:cs="仿宋"/>
                <w:szCs w:val="24"/>
              </w:rPr>
              <w:t>.</w:t>
            </w:r>
            <w:r>
              <w:rPr>
                <w:rFonts w:hint="eastAsia" w:ascii="仿宋" w:hAnsi="仿宋" w:eastAsia="仿宋" w:cs="仿宋"/>
                <w:szCs w:val="24"/>
                <w:lang w:bidi="ar"/>
              </w:rPr>
              <w:t>真核细胞基本知识概要和基本结构体系</w:t>
            </w:r>
          </w:p>
          <w:p w14:paraId="3F5D8ECA">
            <w:pPr>
              <w:widowControl/>
              <w:adjustRightInd w:val="0"/>
              <w:snapToGrid w:val="0"/>
              <w:spacing w:line="360" w:lineRule="auto"/>
              <w:ind w:firstLine="456" w:firstLineChars="190"/>
              <w:jc w:val="left"/>
              <w:rPr>
                <w:rFonts w:hint="eastAsia" w:ascii="仿宋" w:hAnsi="仿宋" w:eastAsia="仿宋" w:cs="仿宋"/>
                <w:szCs w:val="24"/>
                <w:lang w:bidi="ar"/>
              </w:rPr>
            </w:pPr>
            <w:r>
              <w:rPr>
                <w:rFonts w:ascii="仿宋" w:hAnsi="仿宋" w:eastAsia="仿宋" w:cs="仿宋"/>
                <w:szCs w:val="24"/>
              </w:rPr>
              <w:t>5</w:t>
            </w:r>
            <w:r>
              <w:rPr>
                <w:rFonts w:hint="eastAsia" w:ascii="仿宋" w:hAnsi="仿宋" w:eastAsia="仿宋" w:cs="仿宋"/>
                <w:szCs w:val="24"/>
              </w:rPr>
              <w:t>.</w:t>
            </w:r>
            <w:r>
              <w:rPr>
                <w:rFonts w:hint="eastAsia" w:ascii="仿宋" w:hAnsi="仿宋" w:eastAsia="仿宋" w:cs="仿宋"/>
                <w:szCs w:val="24"/>
                <w:lang w:bidi="ar"/>
              </w:rPr>
              <w:t>病毒的基本知识及其与细胞的关系</w:t>
            </w:r>
          </w:p>
          <w:p w14:paraId="72B98ABC">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第二章 细胞生物学研究方法</w:t>
            </w:r>
          </w:p>
          <w:p w14:paraId="255C534B">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1.细胞形态结构的观察方法及显微操作技术</w:t>
            </w:r>
          </w:p>
          <w:p w14:paraId="369D0684">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2.细胞及其组分的分析方法</w:t>
            </w:r>
          </w:p>
          <w:p w14:paraId="5CCDA499">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3.细胞培养与细胞工程</w:t>
            </w:r>
          </w:p>
          <w:p w14:paraId="02D2C75A">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4.细胞及生物大分子的动态变化</w:t>
            </w:r>
          </w:p>
          <w:p w14:paraId="7B3CCC91">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第三章 细胞质膜</w:t>
            </w:r>
          </w:p>
          <w:p w14:paraId="57A74C2B">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1.细胞质膜的结构模型</w:t>
            </w:r>
          </w:p>
          <w:p w14:paraId="4821E49D">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2.细胞质膜的基本成分及其特性与功能</w:t>
            </w:r>
          </w:p>
          <w:p w14:paraId="574C3074">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3.细胞质膜的基本特征与功能</w:t>
            </w:r>
          </w:p>
          <w:p w14:paraId="0C990934">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第四章 物质的跨膜运输</w:t>
            </w:r>
          </w:p>
          <w:p w14:paraId="697CDD90">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1.膜转运蛋白类型及特点</w:t>
            </w:r>
          </w:p>
          <w:p w14:paraId="2B50CD6E">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rPr>
              <w:t>2.</w:t>
            </w:r>
            <w:r>
              <w:rPr>
                <w:rFonts w:hint="eastAsia" w:ascii="仿宋" w:hAnsi="仿宋" w:eastAsia="仿宋" w:cs="仿宋"/>
                <w:szCs w:val="24"/>
                <w:lang w:bidi="ar"/>
              </w:rPr>
              <w:t>小分子及离子的跨膜运输类型</w:t>
            </w:r>
          </w:p>
          <w:p w14:paraId="492F8F31">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3.</w:t>
            </w:r>
            <w:r>
              <w:rPr>
                <w:rFonts w:hint="eastAsia" w:ascii="仿宋" w:hAnsi="仿宋" w:eastAsia="仿宋" w:cs="仿宋"/>
                <w:szCs w:val="24"/>
                <w:lang w:bidi="ar"/>
              </w:rPr>
              <w:t>被动运输与主动运输概念及意义</w:t>
            </w:r>
          </w:p>
          <w:p w14:paraId="3302C5D2">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4.ATP驱动泵</w:t>
            </w:r>
            <w:r>
              <w:rPr>
                <w:rFonts w:hint="eastAsia" w:ascii="仿宋" w:hAnsi="仿宋" w:eastAsia="仿宋" w:cs="仿宋"/>
                <w:szCs w:val="24"/>
                <w:lang w:bidi="ar"/>
              </w:rPr>
              <w:t>与主动运输</w:t>
            </w:r>
          </w:p>
          <w:p w14:paraId="2487CEDD">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5.胞吞作用的类型与功能</w:t>
            </w:r>
          </w:p>
          <w:p w14:paraId="466BFCE6">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第五章 细胞质基质与内膜系统</w:t>
            </w:r>
          </w:p>
          <w:p w14:paraId="37D1E902">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1.细胞质基质的涵义和功能</w:t>
            </w:r>
          </w:p>
          <w:p w14:paraId="0AE4C952">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2.内质网的类型与功能</w:t>
            </w:r>
          </w:p>
          <w:p w14:paraId="42F65AC9">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3.高尔基体的形态结构与功能</w:t>
            </w:r>
          </w:p>
          <w:p w14:paraId="676F7B50">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4.溶酶体</w:t>
            </w:r>
            <w:r>
              <w:rPr>
                <w:rFonts w:hint="eastAsia" w:ascii="仿宋" w:hAnsi="仿宋" w:eastAsia="仿宋" w:cs="仿宋"/>
                <w:szCs w:val="24"/>
                <w:lang w:bidi="ar"/>
              </w:rPr>
              <w:t>的结构与功能</w:t>
            </w:r>
          </w:p>
          <w:p w14:paraId="28A572BD">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第六章 蛋白质分选与膜泡运输</w:t>
            </w:r>
          </w:p>
          <w:p w14:paraId="247BC486">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1.</w:t>
            </w:r>
            <w:r>
              <w:rPr>
                <w:rFonts w:hint="eastAsia" w:ascii="仿宋" w:hAnsi="仿宋" w:eastAsia="仿宋" w:cs="仿宋"/>
                <w:szCs w:val="24"/>
                <w:lang w:bidi="ar"/>
              </w:rPr>
              <w:t>信号假说的</w:t>
            </w:r>
            <w:r>
              <w:rPr>
                <w:rFonts w:hint="eastAsia" w:ascii="仿宋" w:hAnsi="仿宋" w:eastAsia="仿宋" w:cs="仿宋"/>
                <w:szCs w:val="24"/>
              </w:rPr>
              <w:t>概念</w:t>
            </w:r>
          </w:p>
          <w:p w14:paraId="142E5470">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2.细胞内蛋白质分选信号的类型和特点</w:t>
            </w:r>
          </w:p>
          <w:p w14:paraId="6BDAEB7B">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3.蛋白质分选转运的基本途径与类型</w:t>
            </w:r>
          </w:p>
          <w:p w14:paraId="4AE0F270">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lang w:bidi="ar"/>
              </w:rPr>
              <w:t>4.细胞内膜泡运输的概况、类型、特点、过程及其各自主要功能</w:t>
            </w:r>
          </w:p>
          <w:p w14:paraId="7D401759">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第七章 线粒体和叶绿体</w:t>
            </w:r>
          </w:p>
          <w:p w14:paraId="406C38FD">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1.线粒体</w:t>
            </w:r>
            <w:r>
              <w:rPr>
                <w:rFonts w:hint="eastAsia" w:ascii="仿宋" w:hAnsi="仿宋" w:eastAsia="仿宋" w:cs="仿宋"/>
                <w:szCs w:val="24"/>
                <w:lang w:bidi="ar"/>
              </w:rPr>
              <w:t>的基本形态及动态特征、超微结构和功能以及</w:t>
            </w:r>
            <w:r>
              <w:rPr>
                <w:rFonts w:hint="eastAsia" w:ascii="仿宋" w:hAnsi="仿宋" w:eastAsia="仿宋" w:cs="仿宋"/>
                <w:szCs w:val="24"/>
              </w:rPr>
              <w:t>氧化磷酸化</w:t>
            </w:r>
          </w:p>
          <w:p w14:paraId="63111A06">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2.叶绿体</w:t>
            </w:r>
            <w:r>
              <w:rPr>
                <w:rFonts w:hint="eastAsia" w:ascii="仿宋" w:hAnsi="仿宋" w:eastAsia="仿宋" w:cs="仿宋"/>
                <w:szCs w:val="24"/>
                <w:lang w:bidi="ar"/>
              </w:rPr>
              <w:t>的基本形态及动态特征、超微结构和功能</w:t>
            </w:r>
          </w:p>
          <w:p w14:paraId="037A14A6">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3.线粒体和叶绿体的半自主性</w:t>
            </w:r>
          </w:p>
          <w:p w14:paraId="634341EF">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第八章 细胞骨架</w:t>
            </w:r>
          </w:p>
          <w:p w14:paraId="36078C6F">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1.细胞骨架的概念</w:t>
            </w:r>
          </w:p>
          <w:p w14:paraId="28108909">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rPr>
              <w:t>2.微丝</w:t>
            </w:r>
            <w:r>
              <w:rPr>
                <w:rFonts w:hint="eastAsia" w:ascii="仿宋" w:hAnsi="仿宋" w:eastAsia="仿宋" w:cs="仿宋"/>
                <w:szCs w:val="24"/>
                <w:lang w:bidi="ar"/>
              </w:rPr>
              <w:t>与细胞运动</w:t>
            </w:r>
          </w:p>
          <w:p w14:paraId="3F523454">
            <w:pPr>
              <w:widowControl/>
              <w:adjustRightInd w:val="0"/>
              <w:snapToGrid w:val="0"/>
              <w:spacing w:line="360" w:lineRule="auto"/>
              <w:ind w:firstLine="456" w:firstLineChars="190"/>
              <w:jc w:val="left"/>
              <w:rPr>
                <w:rFonts w:hint="eastAsia" w:ascii="仿宋" w:hAnsi="仿宋" w:eastAsia="仿宋" w:cs="仿宋"/>
                <w:szCs w:val="24"/>
                <w:lang w:bidi="ar"/>
              </w:rPr>
            </w:pPr>
            <w:r>
              <w:rPr>
                <w:rFonts w:ascii="仿宋" w:hAnsi="仿宋" w:eastAsia="仿宋" w:cs="仿宋"/>
                <w:szCs w:val="24"/>
              </w:rPr>
              <w:t>3</w:t>
            </w:r>
            <w:r>
              <w:rPr>
                <w:rFonts w:hint="eastAsia" w:ascii="仿宋" w:hAnsi="仿宋" w:eastAsia="仿宋" w:cs="仿宋"/>
                <w:szCs w:val="24"/>
              </w:rPr>
              <w:t>.微管</w:t>
            </w:r>
            <w:r>
              <w:rPr>
                <w:rFonts w:hint="eastAsia" w:ascii="仿宋" w:hAnsi="仿宋" w:eastAsia="仿宋" w:cs="仿宋"/>
                <w:szCs w:val="24"/>
                <w:lang w:bidi="ar"/>
              </w:rPr>
              <w:t>及其功能</w:t>
            </w:r>
          </w:p>
          <w:p w14:paraId="6C6117C4">
            <w:pPr>
              <w:widowControl/>
              <w:adjustRightInd w:val="0"/>
              <w:snapToGrid w:val="0"/>
              <w:spacing w:line="360" w:lineRule="auto"/>
              <w:ind w:firstLine="456" w:firstLineChars="190"/>
              <w:jc w:val="left"/>
              <w:rPr>
                <w:rFonts w:hint="eastAsia" w:ascii="仿宋" w:hAnsi="仿宋" w:eastAsia="仿宋" w:cs="仿宋"/>
                <w:color w:val="000000"/>
                <w:kern w:val="0"/>
                <w:sz w:val="31"/>
                <w:szCs w:val="31"/>
                <w:lang w:bidi="ar"/>
              </w:rPr>
            </w:pPr>
            <w:r>
              <w:rPr>
                <w:rFonts w:ascii="仿宋" w:hAnsi="仿宋" w:eastAsia="仿宋" w:cs="仿宋"/>
                <w:szCs w:val="24"/>
                <w:lang w:bidi="ar"/>
              </w:rPr>
              <w:t>4</w:t>
            </w:r>
            <w:r>
              <w:rPr>
                <w:rFonts w:hint="eastAsia" w:ascii="仿宋" w:hAnsi="仿宋" w:eastAsia="仿宋" w:cs="仿宋"/>
                <w:szCs w:val="24"/>
                <w:lang w:bidi="ar"/>
              </w:rPr>
              <w:t>.中间丝</w:t>
            </w:r>
          </w:p>
          <w:p w14:paraId="3BE8BC53">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第九章 细胞核与染色质</w:t>
            </w:r>
          </w:p>
          <w:p w14:paraId="52D4790F">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1.核被膜的结构、核孔复合体的功能</w:t>
            </w:r>
          </w:p>
          <w:p w14:paraId="46DCE66A">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rPr>
              <w:t>2.</w:t>
            </w:r>
            <w:r>
              <w:rPr>
                <w:rFonts w:hint="eastAsia" w:ascii="仿宋" w:hAnsi="仿宋" w:eastAsia="仿宋" w:cs="仿宋"/>
                <w:szCs w:val="24"/>
                <w:lang w:bidi="ar"/>
              </w:rPr>
              <w:t>核纤层的结构与功能</w:t>
            </w:r>
          </w:p>
          <w:p w14:paraId="31B06425">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3.染色质的相关概念、主要成分和类型</w:t>
            </w:r>
          </w:p>
          <w:p w14:paraId="07DFC379">
            <w:pPr>
              <w:widowControl/>
              <w:adjustRightInd w:val="0"/>
              <w:snapToGrid w:val="0"/>
              <w:spacing w:line="360" w:lineRule="auto"/>
              <w:ind w:firstLine="456" w:firstLineChars="190"/>
              <w:jc w:val="left"/>
              <w:rPr>
                <w:rFonts w:hint="eastAsia" w:ascii="仿宋" w:hAnsi="仿宋" w:eastAsia="仿宋" w:cs="仿宋"/>
                <w:szCs w:val="24"/>
              </w:rPr>
            </w:pPr>
            <w:r>
              <w:rPr>
                <w:rFonts w:ascii="仿宋" w:hAnsi="仿宋" w:eastAsia="仿宋" w:cs="仿宋"/>
                <w:szCs w:val="24"/>
                <w:lang w:bidi="ar"/>
              </w:rPr>
              <w:t>4</w:t>
            </w:r>
            <w:r>
              <w:rPr>
                <w:rFonts w:hint="eastAsia" w:ascii="仿宋" w:hAnsi="仿宋" w:eastAsia="仿宋" w:cs="仿宋"/>
                <w:szCs w:val="24"/>
                <w:lang w:bidi="ar"/>
              </w:rPr>
              <w:t>.</w:t>
            </w:r>
            <w:r>
              <w:rPr>
                <w:rFonts w:hint="eastAsia" w:ascii="仿宋" w:hAnsi="仿宋" w:eastAsia="仿宋" w:cs="仿宋"/>
                <w:szCs w:val="24"/>
              </w:rPr>
              <w:t>染色体的相关概念、中期染色体的形态结构及功能元件</w:t>
            </w:r>
          </w:p>
          <w:p w14:paraId="3CA28C25">
            <w:pPr>
              <w:adjustRightInd w:val="0"/>
              <w:snapToGrid w:val="0"/>
              <w:spacing w:line="360" w:lineRule="auto"/>
              <w:ind w:firstLine="456" w:firstLineChars="190"/>
              <w:rPr>
                <w:rFonts w:hint="eastAsia" w:ascii="仿宋" w:hAnsi="仿宋" w:eastAsia="仿宋" w:cs="仿宋"/>
                <w:szCs w:val="24"/>
              </w:rPr>
            </w:pPr>
            <w:r>
              <w:rPr>
                <w:rFonts w:ascii="仿宋" w:hAnsi="仿宋" w:eastAsia="仿宋" w:cs="仿宋"/>
                <w:szCs w:val="24"/>
              </w:rPr>
              <w:t>5</w:t>
            </w:r>
            <w:r>
              <w:rPr>
                <w:rFonts w:hint="eastAsia" w:ascii="仿宋" w:hAnsi="仿宋" w:eastAsia="仿宋" w:cs="仿宋"/>
                <w:szCs w:val="24"/>
              </w:rPr>
              <w:t>.核仁的结构与功能</w:t>
            </w:r>
          </w:p>
          <w:p w14:paraId="3C16A075">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第十章 核糖体</w:t>
            </w:r>
          </w:p>
          <w:p w14:paraId="3B73460B">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1.核糖体的概念、类型与结构</w:t>
            </w:r>
          </w:p>
          <w:p w14:paraId="38FF3056">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2.多（聚）核糖体的概念和意义</w:t>
            </w:r>
          </w:p>
          <w:p w14:paraId="0C984784">
            <w:pPr>
              <w:adjustRightInd w:val="0"/>
              <w:snapToGrid w:val="0"/>
              <w:spacing w:line="360" w:lineRule="auto"/>
              <w:ind w:firstLine="456" w:firstLineChars="190"/>
              <w:rPr>
                <w:rFonts w:hint="eastAsia" w:ascii="仿宋" w:hAnsi="仿宋" w:eastAsia="仿宋" w:cs="仿宋"/>
                <w:szCs w:val="24"/>
              </w:rPr>
            </w:pPr>
            <w:r>
              <w:rPr>
                <w:rFonts w:ascii="仿宋" w:hAnsi="仿宋" w:eastAsia="仿宋" w:cs="仿宋"/>
                <w:szCs w:val="24"/>
              </w:rPr>
              <w:t>3</w:t>
            </w:r>
            <w:r>
              <w:rPr>
                <w:rFonts w:hint="eastAsia" w:ascii="仿宋" w:hAnsi="仿宋" w:eastAsia="仿宋" w:cs="仿宋"/>
                <w:szCs w:val="24"/>
              </w:rPr>
              <w:t>.核糖体的本质</w:t>
            </w:r>
          </w:p>
          <w:p w14:paraId="1370E5DA">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第十一章 细胞信号转导</w:t>
            </w:r>
          </w:p>
          <w:p w14:paraId="2A4D352A">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lang w:bidi="ar"/>
              </w:rPr>
              <w:t>1.细胞通信的概念和类型</w:t>
            </w:r>
          </w:p>
          <w:p w14:paraId="03B3EE08">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2.信号分子、受体、第二信使及分子开关的概念、类型和特点</w:t>
            </w:r>
          </w:p>
          <w:p w14:paraId="2247DEC7">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3.细胞信号转导系统及其特性</w:t>
            </w:r>
          </w:p>
          <w:p w14:paraId="0DA12C45">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4.G蛋白偶联受体的结构、作用机制及其介导的信号通路类型</w:t>
            </w:r>
          </w:p>
          <w:p w14:paraId="27C10E57">
            <w:pPr>
              <w:widowControl/>
              <w:adjustRightInd w:val="0"/>
              <w:snapToGrid w:val="0"/>
              <w:spacing w:line="360" w:lineRule="auto"/>
              <w:ind w:firstLine="456" w:firstLineChars="190"/>
              <w:jc w:val="left"/>
              <w:rPr>
                <w:rFonts w:hint="eastAsia" w:ascii="仿宋" w:hAnsi="仿宋" w:eastAsia="仿宋" w:cs="仿宋"/>
                <w:szCs w:val="24"/>
              </w:rPr>
            </w:pPr>
            <w:r>
              <w:rPr>
                <w:rFonts w:ascii="仿宋" w:hAnsi="仿宋" w:eastAsia="仿宋" w:cs="仿宋"/>
                <w:szCs w:val="24"/>
                <w:lang w:bidi="ar"/>
              </w:rPr>
              <w:t>5</w:t>
            </w:r>
            <w:r>
              <w:rPr>
                <w:rFonts w:hint="eastAsia" w:ascii="仿宋" w:hAnsi="仿宋" w:eastAsia="仿宋" w:cs="仿宋"/>
                <w:szCs w:val="24"/>
                <w:lang w:bidi="ar"/>
              </w:rPr>
              <w:t>.细胞信号转导的整合与控制方式</w:t>
            </w:r>
          </w:p>
          <w:p w14:paraId="500B094A">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第十二章 细胞周期与细胞分裂</w:t>
            </w:r>
          </w:p>
          <w:p w14:paraId="3B2A58C1">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1.细胞周期概念和周期中各个不同时相的主要事件</w:t>
            </w:r>
          </w:p>
          <w:p w14:paraId="2C2BFDA7">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2.细胞周期同步化方法</w:t>
            </w:r>
          </w:p>
          <w:p w14:paraId="04139D96">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3.有丝分裂各期的重要事件</w:t>
            </w:r>
          </w:p>
          <w:p w14:paraId="5607BD1C">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第十三章 细胞增殖调控与癌细胞</w:t>
            </w:r>
          </w:p>
          <w:p w14:paraId="1DDC9817">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1.</w:t>
            </w:r>
            <w:r>
              <w:rPr>
                <w:rFonts w:hint="eastAsia" w:ascii="仿宋" w:hAnsi="仿宋" w:eastAsia="仿宋" w:cs="仿宋"/>
                <w:szCs w:val="24"/>
                <w:lang w:bidi="ar"/>
              </w:rPr>
              <w:t>周期蛋白相关的概念及细胞周期中的主要检查点</w:t>
            </w:r>
          </w:p>
          <w:p w14:paraId="7AF925F4">
            <w:pPr>
              <w:widowControl/>
              <w:adjustRightInd w:val="0"/>
              <w:snapToGrid w:val="0"/>
              <w:spacing w:line="360" w:lineRule="auto"/>
              <w:ind w:firstLine="456" w:firstLineChars="190"/>
              <w:jc w:val="left"/>
              <w:rPr>
                <w:rFonts w:hint="eastAsia" w:ascii="仿宋" w:hAnsi="仿宋" w:eastAsia="仿宋" w:cs="仿宋"/>
                <w:szCs w:val="24"/>
                <w:lang w:bidi="ar"/>
              </w:rPr>
            </w:pPr>
            <w:r>
              <w:rPr>
                <w:rFonts w:ascii="仿宋" w:hAnsi="仿宋" w:eastAsia="仿宋" w:cs="仿宋"/>
                <w:szCs w:val="24"/>
              </w:rPr>
              <w:t>2</w:t>
            </w:r>
            <w:r>
              <w:rPr>
                <w:rFonts w:hint="eastAsia" w:ascii="仿宋" w:hAnsi="仿宋" w:eastAsia="仿宋" w:cs="仿宋"/>
                <w:szCs w:val="24"/>
                <w:lang w:bidi="ar"/>
              </w:rPr>
              <w:t>.</w:t>
            </w:r>
            <w:r>
              <w:rPr>
                <w:rFonts w:hint="eastAsia" w:ascii="仿宋" w:hAnsi="仿宋" w:eastAsia="仿宋" w:cs="仿宋"/>
                <w:szCs w:val="24"/>
              </w:rPr>
              <w:t>癌细胞的基本特征</w:t>
            </w:r>
          </w:p>
          <w:p w14:paraId="65960439">
            <w:pPr>
              <w:widowControl/>
              <w:adjustRightInd w:val="0"/>
              <w:snapToGrid w:val="0"/>
              <w:spacing w:line="360" w:lineRule="auto"/>
              <w:ind w:firstLine="456" w:firstLineChars="190"/>
              <w:jc w:val="left"/>
              <w:rPr>
                <w:rFonts w:hint="eastAsia" w:ascii="仿宋" w:hAnsi="仿宋" w:eastAsia="仿宋" w:cs="仿宋"/>
                <w:szCs w:val="24"/>
                <w:lang w:bidi="ar"/>
              </w:rPr>
            </w:pPr>
            <w:r>
              <w:rPr>
                <w:rFonts w:ascii="仿宋" w:hAnsi="仿宋" w:eastAsia="仿宋" w:cs="仿宋"/>
                <w:szCs w:val="24"/>
                <w:lang w:bidi="ar"/>
              </w:rPr>
              <w:t>3</w:t>
            </w:r>
            <w:r>
              <w:rPr>
                <w:rFonts w:hint="eastAsia" w:ascii="仿宋" w:hAnsi="仿宋" w:eastAsia="仿宋" w:cs="仿宋"/>
                <w:szCs w:val="24"/>
                <w:lang w:bidi="ar"/>
              </w:rPr>
              <w:t>.癌基因与抑癌基因的概念及作用</w:t>
            </w:r>
          </w:p>
          <w:p w14:paraId="4297948F">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第十四章 细胞分化与干细胞</w:t>
            </w:r>
          </w:p>
          <w:p w14:paraId="4D700D04">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1.细胞分化相关的基本概念</w:t>
            </w:r>
          </w:p>
          <w:p w14:paraId="282444F9">
            <w:pPr>
              <w:adjustRightInd w:val="0"/>
              <w:snapToGrid w:val="0"/>
              <w:spacing w:line="360" w:lineRule="auto"/>
              <w:ind w:firstLine="456" w:firstLineChars="190"/>
              <w:rPr>
                <w:rFonts w:hint="eastAsia" w:ascii="仿宋" w:hAnsi="仿宋" w:eastAsia="仿宋" w:cs="仿宋"/>
                <w:szCs w:val="24"/>
              </w:rPr>
            </w:pPr>
            <w:r>
              <w:rPr>
                <w:rFonts w:ascii="仿宋" w:hAnsi="仿宋" w:eastAsia="仿宋" w:cs="仿宋"/>
                <w:szCs w:val="24"/>
              </w:rPr>
              <w:t>2</w:t>
            </w:r>
            <w:r>
              <w:rPr>
                <w:rFonts w:hint="eastAsia" w:ascii="仿宋" w:hAnsi="仿宋" w:eastAsia="仿宋" w:cs="仿宋"/>
                <w:szCs w:val="24"/>
              </w:rPr>
              <w:t>.干细胞相关的概念</w:t>
            </w:r>
          </w:p>
          <w:p w14:paraId="2EB37D37">
            <w:pPr>
              <w:adjustRightInd w:val="0"/>
              <w:snapToGrid w:val="0"/>
              <w:spacing w:line="360" w:lineRule="auto"/>
              <w:ind w:firstLine="456" w:firstLineChars="190"/>
              <w:rPr>
                <w:rFonts w:hint="eastAsia" w:ascii="仿宋" w:hAnsi="仿宋" w:eastAsia="仿宋" w:cs="仿宋"/>
                <w:szCs w:val="24"/>
              </w:rPr>
            </w:pPr>
            <w:r>
              <w:rPr>
                <w:rFonts w:ascii="仿宋" w:hAnsi="仿宋" w:eastAsia="仿宋" w:cs="仿宋"/>
                <w:szCs w:val="24"/>
              </w:rPr>
              <w:t>3</w:t>
            </w:r>
            <w:r>
              <w:rPr>
                <w:rFonts w:hint="eastAsia" w:ascii="仿宋" w:hAnsi="仿宋" w:eastAsia="仿宋" w:cs="仿宋"/>
                <w:szCs w:val="24"/>
              </w:rPr>
              <w:t>.干细胞的应用</w:t>
            </w:r>
          </w:p>
          <w:p w14:paraId="6FC01A64">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第十五章 细胞衰老与细胞程序性死亡</w:t>
            </w:r>
          </w:p>
          <w:p w14:paraId="0F561036">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1.细胞衰老的概念、特征和机制</w:t>
            </w:r>
          </w:p>
          <w:p w14:paraId="7AD01430">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rPr>
              <w:t>2.</w:t>
            </w:r>
            <w:r>
              <w:rPr>
                <w:rFonts w:hint="eastAsia" w:ascii="仿宋" w:hAnsi="仿宋" w:eastAsia="仿宋" w:cs="仿宋"/>
                <w:szCs w:val="24"/>
                <w:lang w:bidi="ar"/>
              </w:rPr>
              <w:t>程序性死亡的概念、方式及意义</w:t>
            </w:r>
          </w:p>
          <w:p w14:paraId="7F3CDE26">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3.细胞凋亡的概念、特征及意义</w:t>
            </w:r>
          </w:p>
          <w:p w14:paraId="31F47A4F">
            <w:pPr>
              <w:widowControl/>
              <w:adjustRightInd w:val="0"/>
              <w:snapToGrid w:val="0"/>
              <w:spacing w:line="360" w:lineRule="auto"/>
              <w:ind w:firstLine="456" w:firstLineChars="190"/>
              <w:jc w:val="left"/>
              <w:rPr>
                <w:rFonts w:hint="eastAsia" w:ascii="仿宋" w:hAnsi="仿宋" w:eastAsia="仿宋" w:cs="仿宋"/>
                <w:szCs w:val="24"/>
                <w:lang w:bidi="ar"/>
              </w:rPr>
            </w:pPr>
            <w:r>
              <w:rPr>
                <w:rFonts w:hint="eastAsia" w:ascii="仿宋" w:hAnsi="仿宋" w:eastAsia="仿宋" w:cs="仿宋"/>
                <w:szCs w:val="24"/>
                <w:lang w:bidi="ar"/>
              </w:rPr>
              <w:t>4.细胞凋亡的过程</w:t>
            </w:r>
          </w:p>
          <w:p w14:paraId="58ADE1A9">
            <w:pPr>
              <w:adjustRightInd w:val="0"/>
              <w:snapToGrid w:val="0"/>
              <w:spacing w:line="360" w:lineRule="auto"/>
              <w:rPr>
                <w:rFonts w:hint="eastAsia" w:ascii="仿宋" w:hAnsi="仿宋" w:eastAsia="仿宋" w:cs="仿宋"/>
                <w:szCs w:val="24"/>
              </w:rPr>
            </w:pPr>
            <w:r>
              <w:rPr>
                <w:rFonts w:hint="eastAsia" w:ascii="仿宋" w:hAnsi="仿宋" w:eastAsia="仿宋" w:cs="仿宋"/>
                <w:szCs w:val="24"/>
              </w:rPr>
              <w:t>第十六章 细胞的社会联系</w:t>
            </w:r>
          </w:p>
          <w:p w14:paraId="5FE5CFE4">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1.多细胞生物细胞间产生社会联系的方法</w:t>
            </w:r>
          </w:p>
          <w:p w14:paraId="53ED75A1">
            <w:pPr>
              <w:adjustRightInd w:val="0"/>
              <w:snapToGrid w:val="0"/>
              <w:spacing w:line="360" w:lineRule="auto"/>
              <w:ind w:firstLine="456" w:firstLineChars="190"/>
              <w:rPr>
                <w:rFonts w:hint="eastAsia" w:ascii="仿宋" w:hAnsi="仿宋" w:eastAsia="仿宋" w:cs="仿宋"/>
                <w:szCs w:val="24"/>
              </w:rPr>
            </w:pPr>
            <w:r>
              <w:rPr>
                <w:rFonts w:hint="eastAsia" w:ascii="仿宋" w:hAnsi="仿宋" w:eastAsia="仿宋" w:cs="仿宋"/>
                <w:szCs w:val="24"/>
              </w:rPr>
              <w:t>2.细胞连接的类型、组成及功能</w:t>
            </w:r>
          </w:p>
          <w:p w14:paraId="61311D2F">
            <w:pPr>
              <w:widowControl/>
              <w:adjustRightInd w:val="0"/>
              <w:snapToGrid w:val="0"/>
              <w:spacing w:line="360" w:lineRule="auto"/>
              <w:ind w:firstLine="456" w:firstLineChars="190"/>
              <w:jc w:val="left"/>
              <w:rPr>
                <w:rFonts w:hint="eastAsia" w:ascii="仿宋" w:hAnsi="仿宋" w:eastAsia="仿宋" w:cs="仿宋"/>
                <w:szCs w:val="24"/>
              </w:rPr>
            </w:pPr>
            <w:r>
              <w:rPr>
                <w:rFonts w:hint="eastAsia" w:ascii="仿宋" w:hAnsi="仿宋" w:eastAsia="仿宋" w:cs="仿宋"/>
                <w:szCs w:val="24"/>
              </w:rPr>
              <w:t>3.</w:t>
            </w:r>
            <w:r>
              <w:rPr>
                <w:rFonts w:hint="eastAsia" w:ascii="仿宋" w:hAnsi="仿宋" w:eastAsia="仿宋" w:cs="仿宋"/>
                <w:szCs w:val="24"/>
                <w:lang w:bidi="ar"/>
              </w:rPr>
              <w:t>细胞外基质主要组成成分的类型和功能</w:t>
            </w:r>
          </w:p>
          <w:p w14:paraId="3D81BF4E">
            <w:pPr>
              <w:widowControl/>
              <w:adjustRightInd w:val="0"/>
              <w:snapToGrid w:val="0"/>
              <w:spacing w:line="360" w:lineRule="auto"/>
              <w:ind w:firstLine="456" w:firstLineChars="190"/>
              <w:jc w:val="left"/>
              <w:rPr>
                <w:rStyle w:val="40"/>
                <w:rFonts w:hint="eastAsia" w:ascii="仿宋" w:hAnsi="仿宋" w:eastAsia="仿宋" w:cs="仿宋"/>
                <w:color w:val="auto"/>
                <w:sz w:val="24"/>
                <w:szCs w:val="24"/>
              </w:rPr>
            </w:pPr>
          </w:p>
        </w:tc>
      </w:tr>
      <w:tr w14:paraId="571D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53607B1">
            <w:pPr>
              <w:spacing w:line="360" w:lineRule="auto"/>
              <w:rPr>
                <w:rFonts w:hint="eastAsia" w:ascii="仿宋" w:hAnsi="仿宋" w:eastAsia="仿宋" w:cs="仿宋"/>
                <w:b/>
                <w:bCs/>
                <w:szCs w:val="24"/>
              </w:rPr>
            </w:pPr>
            <w:r>
              <w:rPr>
                <w:rFonts w:hint="eastAsia" w:ascii="仿宋" w:hAnsi="仿宋" w:eastAsia="仿宋" w:cs="仿宋"/>
                <w:b/>
                <w:bCs/>
                <w:szCs w:val="24"/>
              </w:rPr>
              <w:t>参考书目：</w:t>
            </w:r>
          </w:p>
          <w:p w14:paraId="74D1E272">
            <w:pPr>
              <w:spacing w:line="360" w:lineRule="auto"/>
              <w:ind w:firstLine="480" w:firstLineChars="200"/>
              <w:rPr>
                <w:rFonts w:hint="eastAsia" w:ascii="仿宋" w:hAnsi="仿宋" w:eastAsia="仿宋" w:cs="仿宋"/>
                <w:szCs w:val="24"/>
              </w:rPr>
            </w:pPr>
            <w:r>
              <w:rPr>
                <w:rFonts w:hint="eastAsia" w:ascii="仿宋" w:hAnsi="仿宋" w:eastAsia="仿宋" w:cs="仿宋"/>
                <w:szCs w:val="24"/>
              </w:rPr>
              <w:t>丁明孝、王喜忠、张传茂、陈建国主编，细胞生物学(第五版)，北京：高等教育出版社，20</w:t>
            </w:r>
            <w:r>
              <w:rPr>
                <w:rFonts w:ascii="仿宋" w:hAnsi="仿宋" w:eastAsia="仿宋" w:cs="仿宋"/>
                <w:szCs w:val="24"/>
              </w:rPr>
              <w:t>20</w:t>
            </w:r>
            <w:r>
              <w:rPr>
                <w:rFonts w:hint="eastAsia" w:ascii="仿宋" w:hAnsi="仿宋" w:eastAsia="仿宋" w:cs="仿宋"/>
                <w:szCs w:val="24"/>
              </w:rPr>
              <w:t>年。</w:t>
            </w:r>
          </w:p>
          <w:p w14:paraId="5259B90F">
            <w:pPr>
              <w:rPr>
                <w:rStyle w:val="40"/>
                <w:rFonts w:hint="eastAsia" w:ascii="仿宋" w:hAnsi="仿宋" w:eastAsia="仿宋" w:cs="仿宋"/>
                <w:sz w:val="24"/>
                <w:szCs w:val="24"/>
              </w:rPr>
            </w:pPr>
          </w:p>
        </w:tc>
      </w:tr>
    </w:tbl>
    <w:p w14:paraId="2CC8E863">
      <w:pPr>
        <w:ind w:firstLine="220" w:firstLineChars="100"/>
        <w:rPr>
          <w:sz w:val="22"/>
        </w:rPr>
      </w:pPr>
    </w:p>
    <w:p w14:paraId="474C1F7A">
      <w:pPr>
        <w:rPr>
          <w:rFonts w:hint="eastAsia" w:ascii="宋体" w:hAnsi="宋体"/>
          <w:sz w:val="28"/>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1ED6F19-1CD3-4C11-9E91-4C3880B3A58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汉仪旗黑X1-95简">
    <w:altName w:val="微软雅黑"/>
    <w:panose1 w:val="00000000000000000000"/>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2" w:fontKey="{6521DC0E-2370-40E0-9EF5-6928E82F5E82}"/>
  </w:font>
  <w:font w:name="方正仿宋_GB2312">
    <w:altName w:val="仿宋"/>
    <w:panose1 w:val="00000000000000000000"/>
    <w:charset w:val="86"/>
    <w:family w:val="auto"/>
    <w:pitch w:val="default"/>
    <w:sig w:usb0="00000000" w:usb1="00000000" w:usb2="00000012" w:usb3="00000000" w:csb0="00040001" w:csb1="00000000"/>
    <w:embedRegular r:id="rId3" w:fontKey="{47C8E6EE-F550-40FB-8BE2-2CB0FB759120}"/>
  </w:font>
  <w:font w:name="仿宋">
    <w:panose1 w:val="02010609060101010101"/>
    <w:charset w:val="86"/>
    <w:family w:val="modern"/>
    <w:pitch w:val="default"/>
    <w:sig w:usb0="800002BF" w:usb1="38CF7CFA" w:usb2="00000016" w:usb3="00000000" w:csb0="00040001" w:csb1="00000000"/>
    <w:embedRegular r:id="rId4" w:fontKey="{F3DB01C0-3650-46A5-BDFB-DB6161E8343D}"/>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TrueTypeFonts/>
  <w:saveSubsetFonts/>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EB0"/>
    <w:rsid w:val="0003766C"/>
    <w:rsid w:val="00055C16"/>
    <w:rsid w:val="00063A6E"/>
    <w:rsid w:val="0006628A"/>
    <w:rsid w:val="00067F8B"/>
    <w:rsid w:val="000D1230"/>
    <w:rsid w:val="001171ED"/>
    <w:rsid w:val="0012121F"/>
    <w:rsid w:val="001319B5"/>
    <w:rsid w:val="00171841"/>
    <w:rsid w:val="00193B6F"/>
    <w:rsid w:val="001C3E8F"/>
    <w:rsid w:val="001D72CE"/>
    <w:rsid w:val="001E12E0"/>
    <w:rsid w:val="00211F76"/>
    <w:rsid w:val="00220EF2"/>
    <w:rsid w:val="002A63C5"/>
    <w:rsid w:val="002E62AA"/>
    <w:rsid w:val="003138B4"/>
    <w:rsid w:val="0035158B"/>
    <w:rsid w:val="0037735A"/>
    <w:rsid w:val="00380716"/>
    <w:rsid w:val="00392EFC"/>
    <w:rsid w:val="003A5066"/>
    <w:rsid w:val="003E5A75"/>
    <w:rsid w:val="003E7866"/>
    <w:rsid w:val="003F0479"/>
    <w:rsid w:val="00416CAB"/>
    <w:rsid w:val="004211A1"/>
    <w:rsid w:val="00436DB0"/>
    <w:rsid w:val="00451EFB"/>
    <w:rsid w:val="00453718"/>
    <w:rsid w:val="004A3076"/>
    <w:rsid w:val="004C6711"/>
    <w:rsid w:val="005007BD"/>
    <w:rsid w:val="00503959"/>
    <w:rsid w:val="0050419F"/>
    <w:rsid w:val="00513482"/>
    <w:rsid w:val="00530A95"/>
    <w:rsid w:val="00585D4F"/>
    <w:rsid w:val="005E010D"/>
    <w:rsid w:val="005E2AFE"/>
    <w:rsid w:val="005F0CCD"/>
    <w:rsid w:val="006374B3"/>
    <w:rsid w:val="00637E1E"/>
    <w:rsid w:val="00647708"/>
    <w:rsid w:val="00675C4F"/>
    <w:rsid w:val="006A1AFB"/>
    <w:rsid w:val="006C381B"/>
    <w:rsid w:val="006E6C21"/>
    <w:rsid w:val="007602E7"/>
    <w:rsid w:val="00837DB9"/>
    <w:rsid w:val="00867224"/>
    <w:rsid w:val="008A6A4F"/>
    <w:rsid w:val="008A7F80"/>
    <w:rsid w:val="008E3FA4"/>
    <w:rsid w:val="008F66E9"/>
    <w:rsid w:val="00912B8E"/>
    <w:rsid w:val="00921BB4"/>
    <w:rsid w:val="009561FC"/>
    <w:rsid w:val="00957400"/>
    <w:rsid w:val="009610EB"/>
    <w:rsid w:val="009648A7"/>
    <w:rsid w:val="009A3001"/>
    <w:rsid w:val="009C18D4"/>
    <w:rsid w:val="00A0169D"/>
    <w:rsid w:val="00A03511"/>
    <w:rsid w:val="00A10EB0"/>
    <w:rsid w:val="00A217D3"/>
    <w:rsid w:val="00A80B6F"/>
    <w:rsid w:val="00AA0DC2"/>
    <w:rsid w:val="00AE1A66"/>
    <w:rsid w:val="00B3447C"/>
    <w:rsid w:val="00B5583A"/>
    <w:rsid w:val="00B61B95"/>
    <w:rsid w:val="00B651BF"/>
    <w:rsid w:val="00B97A81"/>
    <w:rsid w:val="00BA5DB1"/>
    <w:rsid w:val="00BB0608"/>
    <w:rsid w:val="00BD4004"/>
    <w:rsid w:val="00BE7018"/>
    <w:rsid w:val="00C62364"/>
    <w:rsid w:val="00C90A24"/>
    <w:rsid w:val="00CA3C4B"/>
    <w:rsid w:val="00CC302A"/>
    <w:rsid w:val="00CD1DC9"/>
    <w:rsid w:val="00CE0D6F"/>
    <w:rsid w:val="00D03C22"/>
    <w:rsid w:val="00D36032"/>
    <w:rsid w:val="00D40C2B"/>
    <w:rsid w:val="00D54C42"/>
    <w:rsid w:val="00D569C6"/>
    <w:rsid w:val="00D702DB"/>
    <w:rsid w:val="00D831B2"/>
    <w:rsid w:val="00DD2B22"/>
    <w:rsid w:val="00DD2BB8"/>
    <w:rsid w:val="00E153D5"/>
    <w:rsid w:val="00E71EB6"/>
    <w:rsid w:val="00E90589"/>
    <w:rsid w:val="00EB74FB"/>
    <w:rsid w:val="00EE67D4"/>
    <w:rsid w:val="00F17B88"/>
    <w:rsid w:val="00F24172"/>
    <w:rsid w:val="00F3446D"/>
    <w:rsid w:val="00F4294E"/>
    <w:rsid w:val="00FC48F9"/>
    <w:rsid w:val="00FF7EE5"/>
    <w:rsid w:val="0D8140C4"/>
    <w:rsid w:val="1D910D88"/>
    <w:rsid w:val="23977E6D"/>
    <w:rsid w:val="23D04F68"/>
    <w:rsid w:val="285B70B7"/>
    <w:rsid w:val="291021EA"/>
    <w:rsid w:val="29973918"/>
    <w:rsid w:val="2E110657"/>
    <w:rsid w:val="34A1532C"/>
    <w:rsid w:val="38D35034"/>
    <w:rsid w:val="39EA2D8B"/>
    <w:rsid w:val="459E6747"/>
    <w:rsid w:val="560B7454"/>
    <w:rsid w:val="63947E52"/>
    <w:rsid w:val="66065ACF"/>
    <w:rsid w:val="676F1D09"/>
    <w:rsid w:val="680D4048"/>
    <w:rsid w:val="68532524"/>
    <w:rsid w:val="72FC56B6"/>
    <w:rsid w:val="7DB82221"/>
    <w:rsid w:val="7E603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Cs w:val="24"/>
    </w:rPr>
  </w:style>
  <w:style w:type="paragraph" w:styleId="7">
    <w:name w:val="heading 6"/>
    <w:basedOn w:val="1"/>
    <w:next w:val="1"/>
    <w:link w:val="25"/>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annotation reference"/>
    <w:basedOn w:val="18"/>
    <w:semiHidden/>
    <w:unhideWhenUsed/>
    <w:qFormat/>
    <w:uiPriority w:val="99"/>
    <w:rPr>
      <w:sz w:val="21"/>
      <w:szCs w:val="21"/>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semiHidden/>
    <w:qFormat/>
    <w:uiPriority w:val="9"/>
    <w:rPr>
      <w:rFonts w:asciiTheme="minorHAnsi" w:hAnsiTheme="minorHAnsi" w:eastAsiaTheme="minorEastAsia" w:cstheme="majorBidi"/>
      <w:color w:val="2F5597" w:themeColor="accent1" w:themeShade="BF"/>
      <w:sz w:val="28"/>
      <w:szCs w:val="28"/>
    </w:rPr>
  </w:style>
  <w:style w:type="character" w:customStyle="1" w:styleId="24">
    <w:name w:val="标题 5 字符"/>
    <w:basedOn w:val="18"/>
    <w:link w:val="6"/>
    <w:semiHidden/>
    <w:qFormat/>
    <w:uiPriority w:val="9"/>
    <w:rPr>
      <w:rFonts w:asciiTheme="minorHAnsi" w:hAnsiTheme="minorHAnsi" w:eastAsiaTheme="minorEastAsia" w:cstheme="majorBidi"/>
      <w:color w:val="2F5597" w:themeColor="accent1" w:themeShade="BF"/>
      <w:szCs w:val="24"/>
    </w:rPr>
  </w:style>
  <w:style w:type="character" w:customStyle="1" w:styleId="25">
    <w:name w:val="标题 6 字符"/>
    <w:basedOn w:val="18"/>
    <w:link w:val="7"/>
    <w:semiHidden/>
    <w:qFormat/>
    <w:uiPriority w:val="9"/>
    <w:rPr>
      <w:rFonts w:asciiTheme="minorHAnsi" w:hAnsiTheme="minorHAnsi" w:eastAsiaTheme="minorEastAsia" w:cstheme="majorBidi"/>
      <w:b/>
      <w:bCs/>
      <w:color w:val="2F5597" w:themeColor="accent1" w:themeShade="BF"/>
    </w:rPr>
  </w:style>
  <w:style w:type="character" w:customStyle="1" w:styleId="26">
    <w:name w:val="标题 7 字符"/>
    <w:basedOn w:val="18"/>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明显参考1"/>
    <w:basedOn w:val="18"/>
    <w:qFormat/>
    <w:uiPriority w:val="32"/>
    <w:rPr>
      <w:b/>
      <w:bCs/>
      <w:smallCaps/>
      <w:color w:val="2F5597"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character" w:customStyle="1" w:styleId="40">
    <w:name w:val="fontstyle01"/>
    <w:basedOn w:val="18"/>
    <w:qFormat/>
    <w:uiPriority w:val="0"/>
    <w:rPr>
      <w:rFonts w:hint="default" w:ascii="汉仪旗黑X1-95简" w:hAnsi="汉仪旗黑X1-95简"/>
      <w:color w:val="000000"/>
      <w:sz w:val="40"/>
      <w:szCs w:val="4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1493</Words>
  <Characters>1588</Characters>
  <Lines>12</Lines>
  <Paragraphs>3</Paragraphs>
  <TotalTime>40</TotalTime>
  <ScaleCrop>false</ScaleCrop>
  <LinksUpToDate>false</LinksUpToDate>
  <CharactersWithSpaces>1604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2026-07-29T10:50:00Z</dcterms:created>
  <dc:creator>Hui Liu</dc:creator>
  <cp:lastModifiedBy>郑真真</cp:lastModifiedBy>
  <dcterms:modified xsi:type="dcterms:W3CDTF">2026-10-10T02:57:37Z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06FA8DA94C0741E780BD3DFF85A60E09_13</vt:lpwstr>
  </property>
  <property fmtid="{D5CDD505-2E9C-101B-9397-08002B2CF9AE}" pid="4" name="KSOTemplateDocerSaveRecord">
    <vt:lpwstr>eyJoZGlkIjoiYmZkYjI3OTg1MmE5ZjMyMTQ1YjFlNDdlNmZjNDdkMDYiLCJ1c2VySWQiOiI0MjgwMTE0MzYifQ==</vt:lpwstr>
  </property>
</Properties>
</file>